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18663" w14:textId="4DDA6053" w:rsidR="000D24E9" w:rsidRPr="00181043" w:rsidRDefault="003F4142" w:rsidP="000D24E9">
      <w:pPr>
        <w:pStyle w:val="CRCoverPage"/>
        <w:outlineLvl w:val="0"/>
        <w:rPr>
          <w:b/>
          <w:noProof/>
          <w:sz w:val="24"/>
        </w:rPr>
      </w:pPr>
      <w:r w:rsidRPr="00692DEB">
        <w:rPr>
          <w:rFonts w:cs="Arial"/>
          <w:b/>
          <w:sz w:val="24"/>
          <w:lang w:val="en-US"/>
        </w:rPr>
        <w:t>3GPP TSG RAN WG2 Meeting #1</w:t>
      </w:r>
      <w:r>
        <w:rPr>
          <w:rFonts w:cs="Arial"/>
          <w:b/>
          <w:sz w:val="24"/>
          <w:lang w:val="en-US"/>
        </w:rPr>
        <w:t>29</w:t>
      </w:r>
      <w:r w:rsidR="00F916D1">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DA58E1">
        <w:rPr>
          <w:rFonts w:cs="Arial"/>
          <w:b/>
          <w:sz w:val="24"/>
          <w:lang w:val="en-US"/>
        </w:rPr>
        <w:t>R2-25</w:t>
      </w:r>
      <w:r w:rsidR="00B61452" w:rsidRPr="00DA58E1">
        <w:rPr>
          <w:rFonts w:cs="Arial"/>
          <w:b/>
          <w:sz w:val="24"/>
          <w:lang w:val="en-US"/>
        </w:rPr>
        <w:t>0</w:t>
      </w:r>
      <w:r w:rsidR="00DA58E1" w:rsidRPr="00DA58E1">
        <w:rPr>
          <w:rFonts w:cs="Arial"/>
          <w:b/>
          <w:sz w:val="24"/>
          <w:lang w:val="en-US"/>
        </w:rPr>
        <w:t>2186</w:t>
      </w:r>
      <w:r w:rsidRPr="00692DEB">
        <w:rPr>
          <w:rFonts w:cs="Arial"/>
          <w:b/>
          <w:sz w:val="24"/>
          <w:lang w:val="en-US"/>
        </w:rPr>
        <w:br/>
      </w:r>
      <w:r w:rsidR="00F916D1">
        <w:rPr>
          <w:b/>
          <w:noProof/>
          <w:sz w:val="24"/>
        </w:rPr>
        <w:t>Wuhan</w:t>
      </w:r>
      <w:r>
        <w:rPr>
          <w:b/>
          <w:noProof/>
          <w:sz w:val="24"/>
        </w:rPr>
        <w:t>,</w:t>
      </w:r>
      <w:r w:rsidR="00F916D1">
        <w:rPr>
          <w:b/>
          <w:noProof/>
          <w:sz w:val="24"/>
        </w:rPr>
        <w:t xml:space="preserve"> China, April </w:t>
      </w:r>
      <w:r>
        <w:rPr>
          <w:b/>
          <w:noProof/>
          <w:sz w:val="24"/>
        </w:rPr>
        <w:t>7-</w:t>
      </w:r>
      <w:r w:rsidR="00F916D1">
        <w:rPr>
          <w:b/>
          <w:noProof/>
          <w:sz w:val="24"/>
        </w:rPr>
        <w:t>11</w:t>
      </w:r>
      <w:r>
        <w:rPr>
          <w:b/>
          <w:noProof/>
          <w:sz w:val="24"/>
        </w:rPr>
        <w:t>,</w:t>
      </w:r>
      <w:r w:rsidRPr="001267E8">
        <w:rPr>
          <w:b/>
          <w:noProof/>
          <w:sz w:val="24"/>
        </w:rPr>
        <w:t xml:space="preserve"> 202</w:t>
      </w:r>
      <w:r w:rsidR="00EA5832">
        <w:rPr>
          <w:b/>
          <w:noProof/>
          <w:sz w:val="24"/>
        </w:rPr>
        <w:t>5</w:t>
      </w:r>
      <w:r w:rsidRPr="001267E8">
        <w:rPr>
          <w:b/>
          <w:noProof/>
          <w:sz w:val="24"/>
        </w:rPr>
        <w:t xml:space="preserve">  </w:t>
      </w:r>
      <w:r w:rsidR="000D24E9"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5BB47BE"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0112C6">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365F9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Ambient IoT</w:t>
      </w:r>
      <w:r w:rsidR="00CF09B2">
        <w:rPr>
          <w:rFonts w:ascii="AppleSystemUIFont" w:hAnsi="AppleSystemUIFont" w:cs="AppleSystemUIFont"/>
          <w:b/>
          <w:bCs/>
          <w:color w:val="auto"/>
          <w:sz w:val="26"/>
          <w:szCs w:val="26"/>
          <w:lang w:eastAsia="zh-CN"/>
        </w:rPr>
        <w:t xml:space="preserve"> Paging</w:t>
      </w:r>
    </w:p>
    <w:p w14:paraId="7DC0B9EA" w14:textId="064CB688"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0112C6" w:rsidRPr="000112C6">
        <w:rPr>
          <w:rFonts w:ascii="Arial" w:eastAsia="Times New Roman" w:hAnsi="Arial" w:cs="Arial"/>
          <w:b/>
          <w:bCs/>
          <w:color w:val="auto"/>
          <w:sz w:val="24"/>
          <w:lang w:val="en-GB" w:eastAsia="en-US"/>
        </w:rPr>
        <w:t>Ambient_IoT_solutions</w:t>
      </w:r>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022A1645" w:rsidR="00260B93" w:rsidRDefault="000112C6" w:rsidP="0063236C">
      <w:pPr>
        <w:spacing w:before="180"/>
        <w:rPr>
          <w:lang w:eastAsia="zh-CN"/>
        </w:rPr>
      </w:pPr>
      <w:bookmarkStart w:id="0" w:name="_Hlk61519723"/>
      <w:r>
        <w:rPr>
          <w:lang w:eastAsia="zh-CN"/>
        </w:rPr>
        <w:t xml:space="preserve">In </w:t>
      </w:r>
      <w:r w:rsidR="00F916D1">
        <w:rPr>
          <w:lang w:eastAsia="zh-CN"/>
        </w:rPr>
        <w:t>RAN2#129 meeting</w:t>
      </w:r>
      <w:r w:rsidR="006D3382">
        <w:rPr>
          <w:lang w:eastAsia="zh-CN"/>
        </w:rPr>
        <w:t xml:space="preserve"> [1]</w:t>
      </w:r>
      <w:r w:rsidR="00F916D1">
        <w:rPr>
          <w:lang w:eastAsia="zh-CN"/>
        </w:rPr>
        <w:t>, the following agreements about paging has been reached</w:t>
      </w:r>
      <w:r w:rsidR="00BE645E">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685E188A" w14:textId="77777777"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 xml:space="preserve">Parallel service requests by the same reader is not supported.    </w:t>
            </w:r>
          </w:p>
          <w:p w14:paraId="7CE04883" w14:textId="2D187E39" w:rsidR="001B058F" w:rsidRPr="001B058F" w:rsidRDefault="001B058F" w:rsidP="001B058F">
            <w:pPr>
              <w:numPr>
                <w:ilvl w:val="0"/>
                <w:numId w:val="22"/>
              </w:numPr>
              <w:spacing w:after="120"/>
              <w:ind w:right="-96"/>
              <w:jc w:val="both"/>
              <w:textAlignment w:val="baseline"/>
              <w:rPr>
                <w:rFonts w:eastAsia="SimSun"/>
                <w:highlight w:val="yellow"/>
                <w:lang w:val="en-US"/>
              </w:rPr>
            </w:pPr>
            <w:r w:rsidRPr="001B058F">
              <w:rPr>
                <w:rFonts w:eastAsia="SimSun"/>
                <w:lang w:val="en-US"/>
              </w:rPr>
              <w:t xml:space="preserve">The device is expected to only perform one procedure at a time.   </w:t>
            </w:r>
            <w:r w:rsidRPr="001B058F">
              <w:rPr>
                <w:rFonts w:eastAsia="SimSun"/>
                <w:highlight w:val="yellow"/>
                <w:lang w:val="en-US"/>
              </w:rPr>
              <w:t xml:space="preserve">FFS device behaviour if multiple requests are received in parallel (if needed).  </w:t>
            </w:r>
          </w:p>
          <w:p w14:paraId="0F2B941F" w14:textId="77777777" w:rsid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The “transaction ID” can be generated by reader based on CN corelation ID.  FFS how reader will generate “transaction ID”.  FFS the size of transaction ID</w:t>
            </w:r>
            <w:r>
              <w:rPr>
                <w:rFonts w:eastAsia="SimSun"/>
                <w:lang w:val="en-US"/>
              </w:rPr>
              <w:t>.</w:t>
            </w:r>
          </w:p>
          <w:p w14:paraId="56BFBA94" w14:textId="422E8EDD"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 xml:space="preserve">1 bit solution is excluded.   </w:t>
            </w:r>
            <w:r w:rsidRPr="001B058F">
              <w:rPr>
                <w:rFonts w:eastAsia="SimSun"/>
                <w:highlight w:val="yellow"/>
                <w:lang w:val="en-US"/>
              </w:rPr>
              <w:t>FFS the size.  Aim to have a reasonable size.</w:t>
            </w:r>
          </w:p>
          <w:p w14:paraId="19B9D5DC" w14:textId="5B3871A3"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 xml:space="preserve">RAN2 acknowledges that multi-reader scenario may exist but we will not specify something specific for this purpose.  We can rely on transaction ID and implementation to handle it.  </w:t>
            </w:r>
          </w:p>
          <w:p w14:paraId="168E4511" w14:textId="0C87D222"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The “one identifier” in the paging message includes both the case of “one single device identifier” and “one group identifier”/”filtering criteria”, while the exact format of latter is supposed to be designed by SA2.</w:t>
            </w:r>
          </w:p>
          <w:p w14:paraId="6AFC6CF9" w14:textId="65628C32"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 xml:space="preserve">The current assumption is that the paging identifier is transparent to the A-IoT MAC Layer and carried by upper layer.   </w:t>
            </w:r>
            <w:r w:rsidRPr="001B058F">
              <w:rPr>
                <w:rFonts w:eastAsia="SimSun"/>
                <w:highlight w:val="yellow"/>
                <w:lang w:val="en-US"/>
              </w:rPr>
              <w:t>FFS if there is really a need for visibility in the MAC layer</w:t>
            </w:r>
          </w:p>
          <w:p w14:paraId="3870B395" w14:textId="068A82EA"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the A-IoT paging message can include a number of msg1 resources</w:t>
            </w:r>
          </w:p>
          <w:p w14:paraId="56A63963" w14:textId="6B6B47CE"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From RAN2 perspective, after initial paging message, the R2D transmission which determines the Msg1 resource(s), can be achieved by one of the below two ways, unless RAN1 concludes to use L1 signaling later:</w:t>
            </w:r>
          </w:p>
          <w:p w14:paraId="41F47823" w14:textId="77777777"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Way-1: introducing new R2D message other than the paging message, e.g., QueryRep-like; or</w:t>
            </w:r>
          </w:p>
          <w:p w14:paraId="5AB1A324" w14:textId="77777777"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Way-2: reusing the same paging message, using field(s) to indicate it is only to determine the Msg1 resource(s) and omitting the paging identifier (device ID/group ID) field</w:t>
            </w:r>
          </w:p>
          <w:p w14:paraId="3840D726" w14:textId="032F2584" w:rsidR="00260B93" w:rsidRPr="000112C6" w:rsidRDefault="001B058F" w:rsidP="001B058F">
            <w:pPr>
              <w:numPr>
                <w:ilvl w:val="0"/>
                <w:numId w:val="22"/>
              </w:numPr>
              <w:textAlignment w:val="baseline"/>
              <w:rPr>
                <w:lang w:val="en-US"/>
              </w:rPr>
            </w:pPr>
            <w:r w:rsidRPr="001B058F">
              <w:rPr>
                <w:rFonts w:eastAsia="SimSun"/>
                <w:lang w:val="en-US"/>
              </w:rPr>
              <w:t>The service type of A-IoT (e.g., inventory only, inventory + command) is not included in paging message.</w:t>
            </w:r>
          </w:p>
        </w:tc>
      </w:tr>
    </w:tbl>
    <w:p w14:paraId="60E31A7F" w14:textId="5B63E0BB" w:rsidR="000112C6" w:rsidRDefault="000112C6" w:rsidP="001C7498">
      <w:pPr>
        <w:spacing w:before="100" w:beforeAutospacing="1" w:after="100" w:afterAutospacing="1"/>
        <w:rPr>
          <w:lang w:eastAsia="zh-CN"/>
        </w:rPr>
      </w:pPr>
      <w:r>
        <w:rPr>
          <w:lang w:eastAsia="zh-CN"/>
        </w:rPr>
        <w:t xml:space="preserve">In this paper, we discuss the </w:t>
      </w:r>
      <w:r w:rsidR="001B058F">
        <w:rPr>
          <w:lang w:eastAsia="zh-CN"/>
        </w:rPr>
        <w:t>some remaining issues for</w:t>
      </w:r>
      <w:r>
        <w:rPr>
          <w:lang w:eastAsia="zh-CN"/>
        </w:rPr>
        <w:t xml:space="preserve"> the normative work for Ambient IoT paging:</w:t>
      </w:r>
    </w:p>
    <w:p w14:paraId="36855E06" w14:textId="07B7E37F" w:rsidR="000112C6" w:rsidRPr="000112C6" w:rsidRDefault="000112C6" w:rsidP="0067537F"/>
    <w:p w14:paraId="518328CF" w14:textId="3014A057" w:rsidR="001A5C4B" w:rsidRPr="00ED425D" w:rsidRDefault="00B5750C" w:rsidP="00ED425D">
      <w:pPr>
        <w:pStyle w:val="Heading1"/>
        <w:spacing w:before="60" w:after="60"/>
        <w:rPr>
          <w:lang w:val="en-US"/>
        </w:rPr>
      </w:pPr>
      <w:r>
        <w:rPr>
          <w:lang w:val="en-US"/>
        </w:rPr>
        <w:t xml:space="preserve">2 </w:t>
      </w:r>
      <w:r w:rsidRPr="00692DEB">
        <w:rPr>
          <w:lang w:val="en-US"/>
        </w:rPr>
        <w:t xml:space="preserve">Discussion </w:t>
      </w:r>
    </w:p>
    <w:p w14:paraId="2FC16E15" w14:textId="3D06F10E" w:rsidR="001A5C4B" w:rsidRDefault="001A5C4B" w:rsidP="001A5C4B">
      <w:pPr>
        <w:pStyle w:val="Heading3"/>
        <w:spacing w:before="180" w:after="120"/>
        <w:rPr>
          <w:lang w:eastAsia="ko-KR"/>
        </w:rPr>
      </w:pPr>
      <w:r>
        <w:rPr>
          <w:lang w:eastAsia="ko-KR"/>
        </w:rPr>
        <w:t xml:space="preserve">2.1 </w:t>
      </w:r>
      <w:r w:rsidR="001B058F">
        <w:rPr>
          <w:lang w:eastAsia="ko-KR"/>
        </w:rPr>
        <w:t>Handling multiple paging requests</w:t>
      </w:r>
      <w:r>
        <w:rPr>
          <w:lang w:eastAsia="ko-KR"/>
        </w:rPr>
        <w:t xml:space="preserve"> </w:t>
      </w:r>
    </w:p>
    <w:p w14:paraId="12227835" w14:textId="2A8D8074" w:rsidR="001B058F" w:rsidRDefault="001B058F" w:rsidP="001A5C4B">
      <w:pPr>
        <w:spacing w:before="60" w:after="60"/>
        <w:jc w:val="both"/>
        <w:rPr>
          <w:rFonts w:eastAsia="Malgun Gothic"/>
          <w:lang w:eastAsia="ko-KR"/>
        </w:rPr>
      </w:pPr>
      <w:r>
        <w:rPr>
          <w:rFonts w:eastAsia="Malgun Gothic"/>
          <w:lang w:eastAsia="ko-KR"/>
        </w:rPr>
        <w:t xml:space="preserve">The A-IOT device is supposed to be very low-cost simple device. So, the logic regarding the handling of multiple paging requests should be also simple and straight-forward.  It has been agreed that “a </w:t>
      </w:r>
      <w:r w:rsidRPr="001B058F">
        <w:rPr>
          <w:rFonts w:eastAsia="Malgun Gothic"/>
          <w:i/>
          <w:iCs/>
          <w:lang w:eastAsia="ko-KR"/>
        </w:rPr>
        <w:t>A-IoT device is expected to preform one procedure at one time</w:t>
      </w:r>
      <w:r>
        <w:rPr>
          <w:rFonts w:eastAsia="Malgun Gothic"/>
          <w:i/>
          <w:iCs/>
          <w:lang w:eastAsia="ko-KR"/>
        </w:rPr>
        <w:t>”</w:t>
      </w:r>
      <w:r>
        <w:rPr>
          <w:rFonts w:eastAsia="Malgun Gothic"/>
          <w:lang w:eastAsia="ko-KR"/>
        </w:rPr>
        <w:t xml:space="preserve">, but somehow the relationship between the “procedure” and “transaction ID” is still unclear. We </w:t>
      </w:r>
      <w:r>
        <w:rPr>
          <w:rFonts w:eastAsia="Malgun Gothic"/>
          <w:lang w:eastAsia="ko-KR"/>
        </w:rPr>
        <w:lastRenderedPageBreak/>
        <w:t>think it would be better clarified that the device will only has one ongoing “transaction ID” at a time. This will ensure that the device has no need to store multiple transaction IDs in its memory.</w:t>
      </w:r>
    </w:p>
    <w:p w14:paraId="7AF4F779" w14:textId="4BC3060E" w:rsidR="001B058F" w:rsidRPr="00F4556E" w:rsidRDefault="001B058F" w:rsidP="001B058F">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t>A-IoT device only handle one ongoing “transaction” at a time and maintains a single valid “transaction ID”.</w:t>
      </w:r>
    </w:p>
    <w:p w14:paraId="3E5C6E01" w14:textId="77777777" w:rsidR="001B058F" w:rsidRDefault="001B058F" w:rsidP="001A5C4B">
      <w:pPr>
        <w:spacing w:before="60" w:after="60"/>
        <w:jc w:val="both"/>
        <w:rPr>
          <w:rFonts w:eastAsia="Malgun Gothic"/>
          <w:lang w:eastAsia="ko-KR"/>
        </w:rPr>
      </w:pPr>
    </w:p>
    <w:p w14:paraId="62BA5673" w14:textId="34866AE5" w:rsidR="00E261EE" w:rsidRDefault="001B058F" w:rsidP="001A5C4B">
      <w:pPr>
        <w:spacing w:before="60" w:after="60"/>
        <w:jc w:val="both"/>
        <w:rPr>
          <w:rFonts w:eastAsia="Malgun Gothic"/>
          <w:lang w:eastAsia="ko-KR"/>
        </w:rPr>
      </w:pPr>
      <w:r>
        <w:rPr>
          <w:rFonts w:eastAsia="Malgun Gothic"/>
          <w:lang w:eastAsia="ko-KR"/>
        </w:rPr>
        <w:t xml:space="preserve">It is very challenging or infeasible for device to understand or track the NW implementation or reader-coordination circumstances from area to area. So, from the device design perspective, it has to assume parallel paging requests may occur.  Second, the device and reader may be out of sync about the what is the “current” transaction due to some intermittent in-and-out coverage issues, so we cannot assume they are always in sync about the current ongoing transaction. It is also equally hard for device to track the readers and prioritize one request over another based on complex conditions. So, we think regardless of whether a new paging transaction is provided by the same reader or different reader, the device should always just follow the “new” paging transaction and abort the “old” one, as long as its device ID matches the Paging ID in the new Paging message. Note that this may create some challenges in NW coordination. Nonetheless, we think the primary goal of A-IoT system design is to reduce device complexity, so it is worth adding NW complexity to ensure simple and robust A-IoT device behavior </w:t>
      </w:r>
      <w:r w:rsidR="00E261EE">
        <w:rPr>
          <w:rFonts w:eastAsia="Malgun Gothic"/>
          <w:lang w:eastAsia="ko-KR"/>
        </w:rPr>
        <w:t xml:space="preserve"> </w:t>
      </w:r>
    </w:p>
    <w:p w14:paraId="3B29EBB1" w14:textId="25EE8DCF" w:rsidR="001B058F" w:rsidRPr="00E261EE" w:rsidRDefault="00E261EE" w:rsidP="001B058F">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w:t>
      </w:r>
      <w:r w:rsidR="001B058F">
        <w:rPr>
          <w:rFonts w:eastAsia="Malgun Gothic"/>
          <w:b/>
          <w:bCs/>
          <w:lang w:eastAsia="ko-KR"/>
        </w:rPr>
        <w:t>2</w:t>
      </w:r>
      <w:r w:rsidRPr="00E261EE">
        <w:rPr>
          <w:rFonts w:eastAsia="Malgun Gothic"/>
          <w:b/>
          <w:bCs/>
          <w:lang w:eastAsia="ko-KR"/>
        </w:rPr>
        <w:t xml:space="preserve"> </w:t>
      </w:r>
      <w:r w:rsidR="00AD7786">
        <w:rPr>
          <w:rFonts w:eastAsia="Malgun Gothic"/>
          <w:b/>
          <w:bCs/>
          <w:lang w:eastAsia="ko-KR"/>
        </w:rPr>
        <w:tab/>
      </w:r>
      <w:r w:rsidR="001B058F">
        <w:rPr>
          <w:rFonts w:eastAsia="Malgun Gothic"/>
          <w:b/>
          <w:bCs/>
          <w:lang w:eastAsia="ko-KR"/>
        </w:rPr>
        <w:t>A device shall abort the current transaction and respond to the matching Paging request with new “Transaction ID”, regardless of whether this new paging transaction is initiated from the same reader or different reader.</w:t>
      </w:r>
    </w:p>
    <w:p w14:paraId="170FE8C1" w14:textId="34A3D43C" w:rsidR="005F4E20" w:rsidRDefault="00251B74" w:rsidP="00251B74">
      <w:pPr>
        <w:spacing w:before="60" w:after="60"/>
        <w:ind w:left="1276" w:hangingChars="638" w:hanging="1276"/>
        <w:jc w:val="both"/>
        <w:rPr>
          <w:rFonts w:eastAsia="Malgun Gothic"/>
          <w:b/>
          <w:bCs/>
          <w:lang w:eastAsia="ko-KR"/>
        </w:rPr>
      </w:pPr>
      <w:r w:rsidRPr="00E261EE">
        <w:rPr>
          <w:rFonts w:eastAsia="Malgun Gothic"/>
          <w:b/>
          <w:bCs/>
          <w:lang w:eastAsia="ko-KR"/>
        </w:rPr>
        <w:t xml:space="preserve"> </w:t>
      </w:r>
      <w:r>
        <w:rPr>
          <w:rFonts w:eastAsia="Malgun Gothic"/>
          <w:b/>
          <w:bCs/>
          <w:lang w:eastAsia="ko-KR"/>
        </w:rPr>
        <w:tab/>
      </w:r>
    </w:p>
    <w:p w14:paraId="582A6801" w14:textId="459A7553" w:rsidR="001B058F" w:rsidRPr="00962A0E" w:rsidRDefault="001B058F" w:rsidP="001B058F">
      <w:pPr>
        <w:pStyle w:val="Heading3"/>
        <w:spacing w:before="180" w:after="120"/>
        <w:rPr>
          <w:lang w:eastAsia="ko-KR"/>
        </w:rPr>
      </w:pPr>
      <w:r>
        <w:rPr>
          <w:lang w:eastAsia="ko-KR"/>
        </w:rPr>
        <w:t xml:space="preserve">2.2 Paging ID Visibility in AS layer </w:t>
      </w:r>
    </w:p>
    <w:p w14:paraId="759F48D5" w14:textId="536DD3EA" w:rsidR="001B058F" w:rsidRDefault="001B058F" w:rsidP="001B058F">
      <w:pPr>
        <w:spacing w:before="60" w:after="60"/>
        <w:jc w:val="both"/>
        <w:rPr>
          <w:rFonts w:eastAsia="Malgun Gothic"/>
          <w:lang w:eastAsia="ko-KR"/>
        </w:rPr>
      </w:pPr>
      <w:r>
        <w:rPr>
          <w:rFonts w:eastAsia="Malgun Gothic"/>
          <w:lang w:eastAsia="ko-KR"/>
        </w:rPr>
        <w:t>One consequence of the introducing AS ID in A-IoT MAC layer design is that the AS ID has to be reliably associated with an upper layer ID (e.g., permanent device ID or temp Device ID), so that the reader can encapsulate the follow-up upper layer A-IoT NAS message(s) to the A-IoT MAC PDU(s) with the matching AS ID in A-IoT MAC header. It is worth noting that any A-IoT NAS messages will not be address to an AS-layer ID such as “AS ID or RN16”, so it is necessary to maintain such an association for any A-IOT device discovered by the reader.</w:t>
      </w:r>
    </w:p>
    <w:p w14:paraId="27D1A705" w14:textId="58E00A0E" w:rsidR="001B058F" w:rsidRDefault="001B058F" w:rsidP="001B058F">
      <w:pPr>
        <w:spacing w:before="60" w:after="60"/>
        <w:jc w:val="both"/>
        <w:rPr>
          <w:rFonts w:eastAsia="Malgun Gothic"/>
          <w:lang w:eastAsia="ko-KR"/>
        </w:rPr>
      </w:pPr>
      <w:r>
        <w:rPr>
          <w:rFonts w:eastAsia="Malgun Gothic"/>
          <w:lang w:eastAsia="ko-KR"/>
        </w:rPr>
        <w:t xml:space="preserve">From this perspective, we think the paging ID visibility is at least needed for CFRA cases. The reader knows the paging ID to be used in CFRA. Once the device has responded in inventory procedure, the reader associate an AS ID to this Paging ID. Some may argue that for CBRA case, the reader can learn each device’s individual device ID from Msg 3 and then associate this device ID to a new AS ID assigned to the device so that the reader does not need to know the group paging ID. But in CFRA, the paging ID itself is the device ID and there is no “Msg3” for the reader to learn the device ID from the D2R message. So, we think the paging ID needs to be exposed to the reader’s MAC layer at least for CFRA case. </w:t>
      </w:r>
    </w:p>
    <w:p w14:paraId="7EE0ED8A" w14:textId="76358399" w:rsidR="001B058F" w:rsidRDefault="001B058F" w:rsidP="001B058F">
      <w:pPr>
        <w:spacing w:before="60" w:after="60"/>
        <w:ind w:left="1440" w:hanging="1440"/>
        <w:jc w:val="both"/>
        <w:rPr>
          <w:b/>
          <w:bCs/>
        </w:rPr>
      </w:pPr>
      <w:r>
        <w:rPr>
          <w:b/>
          <w:bCs/>
        </w:rPr>
        <w:t>Proposal</w:t>
      </w:r>
      <w:r w:rsidRPr="00264C82">
        <w:rPr>
          <w:b/>
          <w:bCs/>
        </w:rPr>
        <w:t xml:space="preserve"> </w:t>
      </w:r>
      <w:r>
        <w:rPr>
          <w:b/>
          <w:bCs/>
        </w:rPr>
        <w:t>3</w:t>
      </w:r>
      <w:r>
        <w:rPr>
          <w:b/>
          <w:bCs/>
        </w:rPr>
        <w:tab/>
        <w:t xml:space="preserve">At least for CFRA paging, Paging ID is visible to reader’s MAC layer. </w:t>
      </w:r>
    </w:p>
    <w:p w14:paraId="15BABCDC" w14:textId="1D3DA8B1" w:rsidR="001B058F" w:rsidRDefault="001B058F" w:rsidP="001B058F">
      <w:pPr>
        <w:pStyle w:val="Heading3"/>
        <w:spacing w:before="180" w:after="120"/>
        <w:rPr>
          <w:lang w:eastAsia="ko-KR"/>
        </w:rPr>
      </w:pPr>
      <w:r>
        <w:rPr>
          <w:lang w:eastAsia="ko-KR"/>
        </w:rPr>
        <w:t xml:space="preserve">2.3 Size of Transaction ID </w:t>
      </w:r>
    </w:p>
    <w:p w14:paraId="43B81072" w14:textId="47B3049A" w:rsidR="001B058F" w:rsidRDefault="001B058F" w:rsidP="001B058F">
      <w:pPr>
        <w:spacing w:before="60" w:after="60"/>
        <w:jc w:val="both"/>
        <w:rPr>
          <w:rFonts w:eastAsia="Malgun Gothic"/>
          <w:lang w:eastAsia="ko-KR"/>
        </w:rPr>
      </w:pPr>
      <w:r>
        <w:rPr>
          <w:rFonts w:eastAsia="Malgun Gothic"/>
          <w:lang w:eastAsia="ko-KR"/>
        </w:rPr>
        <w:t>We assume the device will not need to remember multiple transaction IDs at the same time. But s very small-size transaction ID may wrap up too quickly and create some misunderstanding the device side.</w:t>
      </w:r>
    </w:p>
    <w:p w14:paraId="45919D97" w14:textId="37D5BA74" w:rsidR="001B058F" w:rsidRDefault="001B058F" w:rsidP="001B058F">
      <w:pPr>
        <w:spacing w:before="60" w:after="60"/>
        <w:jc w:val="both"/>
        <w:rPr>
          <w:rFonts w:eastAsia="Malgun Gothic"/>
          <w:lang w:eastAsia="ko-KR"/>
        </w:rPr>
      </w:pPr>
      <w:r>
        <w:rPr>
          <w:rFonts w:eastAsia="Malgun Gothic"/>
          <w:lang w:eastAsia="ko-KR"/>
        </w:rPr>
        <w:t>For example, the device responds to a paging message, records its transaction ID, moves out-of-coverage (thereby missing the ensuing transactions from the same reader), then moves back in the prior reader coverage and detects the appearance of the same “transaction ID” although this is a completely new transaction. During this period, the device may still be able to maintain power due to a CW node is radiating the carrier-waves to charge the devices. So, the device will be able to maintain its “current” transaction ID. Hence, in this case, the device falsely believes the old transaction is still ongoing and no need to respond.  Thus, if the transaction ID is just 1-bit or 2-bit, such a risk of error is really high. So, we suggest to have a reasonably long transaction ID, such as 4-6 bit to mitigate this risk.</w:t>
      </w:r>
    </w:p>
    <w:p w14:paraId="7E577202" w14:textId="2B75C795" w:rsidR="001B058F" w:rsidRPr="005F7A9E" w:rsidRDefault="001B058F" w:rsidP="001B058F">
      <w:pPr>
        <w:spacing w:before="60" w:after="60"/>
        <w:ind w:left="1440" w:hanging="1440"/>
        <w:jc w:val="both"/>
        <w:rPr>
          <w:b/>
          <w:bCs/>
        </w:rPr>
      </w:pPr>
      <w:r>
        <w:rPr>
          <w:b/>
          <w:bCs/>
        </w:rPr>
        <w:t>Proposal</w:t>
      </w:r>
      <w:r w:rsidRPr="00264C82">
        <w:rPr>
          <w:b/>
          <w:bCs/>
        </w:rPr>
        <w:t xml:space="preserve"> </w:t>
      </w:r>
      <w:r>
        <w:rPr>
          <w:b/>
          <w:bCs/>
        </w:rPr>
        <w:t>4</w:t>
      </w:r>
      <w:r>
        <w:rPr>
          <w:b/>
          <w:bCs/>
        </w:rPr>
        <w:tab/>
        <w:t xml:space="preserve">4-6 bit “Transaction ID” is used for Paging message. </w:t>
      </w:r>
      <w:r>
        <w:rPr>
          <w:rFonts w:eastAsia="Malgun Gothic"/>
          <w:lang w:eastAsia="ko-KR"/>
        </w:rPr>
        <w:t xml:space="preserve">  </w:t>
      </w:r>
    </w:p>
    <w:p w14:paraId="59C96197" w14:textId="27FD9032" w:rsidR="001B058F" w:rsidRDefault="001B058F" w:rsidP="001B058F">
      <w:pPr>
        <w:pStyle w:val="Heading3"/>
        <w:spacing w:before="180" w:after="120"/>
        <w:rPr>
          <w:lang w:eastAsia="ko-KR"/>
        </w:rPr>
      </w:pPr>
      <w:r>
        <w:rPr>
          <w:lang w:eastAsia="ko-KR"/>
        </w:rPr>
        <w:t xml:space="preserve">2.4 Paging with Multiple IDs </w:t>
      </w:r>
    </w:p>
    <w:p w14:paraId="5A5F2885" w14:textId="099AF194" w:rsidR="001F2331" w:rsidRDefault="00251B74" w:rsidP="001A5C4B">
      <w:pPr>
        <w:spacing w:before="60" w:after="60"/>
        <w:jc w:val="both"/>
        <w:rPr>
          <w:rFonts w:eastAsia="Malgun Gothic"/>
          <w:lang w:eastAsia="ko-KR"/>
        </w:rPr>
      </w:pPr>
      <w:r>
        <w:rPr>
          <w:rFonts w:eastAsia="Malgun Gothic"/>
          <w:lang w:eastAsia="ko-KR"/>
        </w:rPr>
        <w:t>Then, regarding the “multiple ID” part, a</w:t>
      </w:r>
      <w:r w:rsidR="00165A8D">
        <w:rPr>
          <w:rFonts w:eastAsia="Malgun Gothic"/>
          <w:lang w:eastAsia="ko-KR"/>
        </w:rPr>
        <w:t>s indicated by WID, the case for paging message “containing multiple IDs of A-IoT devices” is a case aimed for forward-compatibility</w:t>
      </w:r>
      <w:r w:rsidR="001F2331">
        <w:rPr>
          <w:rFonts w:eastAsia="Malgun Gothic"/>
          <w:lang w:eastAsia="ko-KR"/>
        </w:rPr>
        <w:t xml:space="preserve">. This implies that the “multiple ID” paging message could be a Rel-20 feature, so that Rel-20 A-IoT device shall be able to decode the paging message containing multiple IDs, which is sent by a Rel-20 reader. However, the exact forward-compatibility requirement is unclear. There are several </w:t>
      </w:r>
      <w:r w:rsidR="00E63B6D">
        <w:rPr>
          <w:rFonts w:eastAsia="Malgun Gothic"/>
          <w:lang w:eastAsia="ko-KR"/>
        </w:rPr>
        <w:t>different interpretations of this:</w:t>
      </w:r>
      <w:r w:rsidR="001F2331">
        <w:rPr>
          <w:rFonts w:eastAsia="Malgun Gothic"/>
          <w:lang w:eastAsia="ko-KR"/>
        </w:rPr>
        <w:t xml:space="preserve">  </w:t>
      </w:r>
      <w:r w:rsidR="00165A8D">
        <w:rPr>
          <w:rFonts w:eastAsia="Malgun Gothic"/>
          <w:lang w:eastAsia="ko-KR"/>
        </w:rPr>
        <w:t xml:space="preserve"> </w:t>
      </w:r>
    </w:p>
    <w:p w14:paraId="1CA87C90" w14:textId="202A94C7" w:rsidR="005D01B1" w:rsidRDefault="001F2331" w:rsidP="001A5C4B">
      <w:pPr>
        <w:spacing w:before="60" w:after="60"/>
        <w:jc w:val="both"/>
        <w:rPr>
          <w:rFonts w:eastAsia="Malgun Gothic"/>
          <w:lang w:eastAsia="ko-KR"/>
        </w:rPr>
      </w:pPr>
      <w:r w:rsidRPr="00AD7786">
        <w:rPr>
          <w:rFonts w:eastAsia="Malgun Gothic"/>
          <w:u w:val="single"/>
          <w:lang w:eastAsia="ko-KR"/>
        </w:rPr>
        <w:lastRenderedPageBreak/>
        <w:t>Option 1</w:t>
      </w:r>
      <w:r>
        <w:rPr>
          <w:rFonts w:eastAsia="Malgun Gothic"/>
          <w:lang w:eastAsia="ko-KR"/>
        </w:rPr>
        <w:t xml:space="preserve">: </w:t>
      </w:r>
      <w:r w:rsidR="00E63B6D">
        <w:rPr>
          <w:rFonts w:eastAsia="Malgun Gothic"/>
          <w:lang w:eastAsia="ko-KR"/>
        </w:rPr>
        <w:t xml:space="preserve">There is only one paging message format. </w:t>
      </w:r>
      <w:r>
        <w:rPr>
          <w:rFonts w:eastAsia="Malgun Gothic"/>
          <w:lang w:eastAsia="ko-KR"/>
        </w:rPr>
        <w:t>Rel-19 reader can send paging message with multiple IDs, while the Rel-19 device will only decode the very first single ID and ignore the other IDs</w:t>
      </w:r>
      <w:r w:rsidR="00E63B6D">
        <w:rPr>
          <w:rFonts w:eastAsia="Malgun Gothic"/>
          <w:lang w:eastAsia="ko-KR"/>
        </w:rPr>
        <w:t>, if present</w:t>
      </w:r>
      <w:r>
        <w:rPr>
          <w:rFonts w:eastAsia="Malgun Gothic"/>
          <w:lang w:eastAsia="ko-KR"/>
        </w:rPr>
        <w:t xml:space="preserve">. Thus, there is no </w:t>
      </w:r>
      <w:r w:rsidR="005D01B1">
        <w:rPr>
          <w:rFonts w:eastAsia="Malgun Gothic"/>
          <w:lang w:eastAsia="ko-KR"/>
        </w:rPr>
        <w:t xml:space="preserve">paging </w:t>
      </w:r>
      <w:r>
        <w:rPr>
          <w:rFonts w:eastAsia="Malgun Gothic"/>
          <w:lang w:eastAsia="ko-KR"/>
        </w:rPr>
        <w:t xml:space="preserve">message format change needed </w:t>
      </w:r>
      <w:r w:rsidR="005D01B1">
        <w:rPr>
          <w:rFonts w:eastAsia="Malgun Gothic"/>
          <w:lang w:eastAsia="ko-KR"/>
        </w:rPr>
        <w:t xml:space="preserve">in Rel-20. </w:t>
      </w:r>
      <w:r>
        <w:rPr>
          <w:rFonts w:eastAsia="Malgun Gothic"/>
          <w:lang w:eastAsia="ko-KR"/>
        </w:rPr>
        <w:t>This means the Rel-19 reader is already forward-compatible with Rel-20 device.</w:t>
      </w:r>
    </w:p>
    <w:p w14:paraId="6FA8E07D" w14:textId="6E8D8655" w:rsidR="00E63B6D" w:rsidRDefault="005D01B1" w:rsidP="005D01B1">
      <w:pPr>
        <w:spacing w:before="60" w:after="60"/>
        <w:jc w:val="both"/>
        <w:rPr>
          <w:rFonts w:eastAsia="Malgun Gothic"/>
          <w:lang w:eastAsia="ko-KR"/>
        </w:rPr>
      </w:pPr>
      <w:r w:rsidRPr="00AD7786">
        <w:rPr>
          <w:rFonts w:eastAsia="Malgun Gothic"/>
          <w:u w:val="single"/>
          <w:lang w:eastAsia="ko-KR"/>
        </w:rPr>
        <w:t xml:space="preserve">Option </w:t>
      </w:r>
      <w:r w:rsidR="00E63B6D" w:rsidRPr="00AD7786">
        <w:rPr>
          <w:rFonts w:eastAsia="Malgun Gothic"/>
          <w:u w:val="single"/>
          <w:lang w:eastAsia="ko-KR"/>
        </w:rPr>
        <w:t>2</w:t>
      </w:r>
      <w:r w:rsidRPr="00AD7786">
        <w:rPr>
          <w:rFonts w:eastAsia="Malgun Gothic"/>
          <w:u w:val="single"/>
          <w:lang w:eastAsia="ko-KR"/>
        </w:rPr>
        <w:t>:</w:t>
      </w:r>
      <w:r>
        <w:rPr>
          <w:rFonts w:eastAsia="Malgun Gothic"/>
          <w:lang w:eastAsia="ko-KR"/>
        </w:rPr>
        <w:t xml:space="preserve"> </w:t>
      </w:r>
      <w:r w:rsidR="00E63B6D">
        <w:rPr>
          <w:rFonts w:eastAsia="Malgun Gothic"/>
          <w:lang w:eastAsia="ko-KR"/>
        </w:rPr>
        <w:t xml:space="preserve">There are two </w:t>
      </w:r>
      <w:r w:rsidR="00AD7786">
        <w:rPr>
          <w:rFonts w:eastAsia="Malgun Gothic"/>
          <w:lang w:eastAsia="ko-KR"/>
        </w:rPr>
        <w:t xml:space="preserve">different </w:t>
      </w:r>
      <w:r w:rsidR="00E63B6D">
        <w:rPr>
          <w:rFonts w:eastAsia="Malgun Gothic"/>
          <w:lang w:eastAsia="ko-KR"/>
        </w:rPr>
        <w:t>paging message formats, one for Rel-19 and one for Rel-20. While the two paging message format</w:t>
      </w:r>
      <w:r w:rsidR="00AD7786">
        <w:rPr>
          <w:rFonts w:eastAsia="Malgun Gothic"/>
          <w:lang w:eastAsia="ko-KR"/>
        </w:rPr>
        <w:t>s</w:t>
      </w:r>
      <w:r w:rsidR="00E63B6D">
        <w:rPr>
          <w:rFonts w:eastAsia="Malgun Gothic"/>
          <w:lang w:eastAsia="ko-KR"/>
        </w:rPr>
        <w:t xml:space="preserve"> shares a certain similarity, Rel-19 device can</w:t>
      </w:r>
      <w:r w:rsidR="00AD7786">
        <w:rPr>
          <w:rFonts w:eastAsia="Malgun Gothic"/>
          <w:lang w:eastAsia="ko-KR"/>
        </w:rPr>
        <w:t>not be paged by a Rel-20 paging message. Instead, it may</w:t>
      </w:r>
      <w:r w:rsidR="00E63B6D">
        <w:rPr>
          <w:rFonts w:eastAsia="Malgun Gothic"/>
          <w:lang w:eastAsia="ko-KR"/>
        </w:rPr>
        <w:t xml:space="preserve"> recognize the existence of a Rel-20 paging message and ignores/drops it. </w:t>
      </w:r>
    </w:p>
    <w:p w14:paraId="69CFC2FC" w14:textId="31072340" w:rsidR="001F2331" w:rsidRDefault="00AD7786" w:rsidP="001A5C4B">
      <w:pPr>
        <w:spacing w:before="60" w:after="60"/>
        <w:jc w:val="both"/>
        <w:rPr>
          <w:rFonts w:eastAsia="Malgun Gothic"/>
          <w:lang w:eastAsia="ko-KR"/>
        </w:rPr>
      </w:pPr>
      <w:r>
        <w:rPr>
          <w:rFonts w:eastAsia="Malgun Gothic"/>
          <w:lang w:eastAsia="ko-KR"/>
        </w:rPr>
        <w:t>For the above two different understandings, the message format design will be dramatically different. For Option 1, Rel-19 paging</w:t>
      </w:r>
      <w:r w:rsidR="00E261EE">
        <w:rPr>
          <w:rFonts w:eastAsia="Malgun Gothic"/>
          <w:lang w:eastAsia="ko-KR"/>
        </w:rPr>
        <w:t xml:space="preserve"> message format would need to have an explicit or implicit indication of the number of </w:t>
      </w:r>
      <w:r>
        <w:rPr>
          <w:rFonts w:eastAsia="Malgun Gothic"/>
          <w:lang w:eastAsia="ko-KR"/>
        </w:rPr>
        <w:t xml:space="preserve">ordered </w:t>
      </w:r>
      <w:r w:rsidR="00E261EE">
        <w:rPr>
          <w:rFonts w:eastAsia="Malgun Gothic"/>
          <w:lang w:eastAsia="ko-KR"/>
        </w:rPr>
        <w:t>IDs</w:t>
      </w:r>
      <w:r>
        <w:rPr>
          <w:rFonts w:eastAsia="Malgun Gothic"/>
          <w:lang w:eastAsia="ko-KR"/>
        </w:rPr>
        <w:t>, s</w:t>
      </w:r>
      <w:r w:rsidR="00E261EE">
        <w:rPr>
          <w:rFonts w:eastAsia="Malgun Gothic"/>
          <w:lang w:eastAsia="ko-KR"/>
        </w:rPr>
        <w:t xml:space="preserve">o that the </w:t>
      </w:r>
      <w:r>
        <w:rPr>
          <w:rFonts w:eastAsia="Malgun Gothic"/>
          <w:lang w:eastAsia="ko-KR"/>
        </w:rPr>
        <w:t xml:space="preserve">Rel-19 </w:t>
      </w:r>
      <w:r w:rsidR="00E261EE">
        <w:rPr>
          <w:rFonts w:eastAsia="Malgun Gothic"/>
          <w:lang w:eastAsia="ko-KR"/>
        </w:rPr>
        <w:t>device can</w:t>
      </w:r>
      <w:r>
        <w:rPr>
          <w:rFonts w:eastAsia="Malgun Gothic"/>
          <w:lang w:eastAsia="ko-KR"/>
        </w:rPr>
        <w:t xml:space="preserve"> process “a si</w:t>
      </w:r>
      <w:r w:rsidR="00DF0520">
        <w:rPr>
          <w:rFonts w:eastAsia="Malgun Gothic"/>
          <w:lang w:eastAsia="ko-KR"/>
        </w:rPr>
        <w:t>ngle</w:t>
      </w:r>
      <w:r>
        <w:rPr>
          <w:rFonts w:eastAsia="Malgun Gothic"/>
          <w:lang w:eastAsia="ko-KR"/>
        </w:rPr>
        <w:t xml:space="preserve"> ID” successfully. For Option 2, we only need to add a version field or reserve a spare message type for Rel-20 paging message. </w:t>
      </w:r>
    </w:p>
    <w:p w14:paraId="2D69215B" w14:textId="6058EBBA" w:rsidR="00E261EE" w:rsidRPr="00AD7786" w:rsidRDefault="00E261EE" w:rsidP="00AD7786">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sidR="001B058F">
        <w:rPr>
          <w:rFonts w:eastAsia="Malgun Gothic"/>
          <w:b/>
          <w:bCs/>
          <w:lang w:eastAsia="ko-KR"/>
        </w:rPr>
        <w:t>5</w:t>
      </w:r>
      <w:r w:rsidRPr="00AD7786">
        <w:rPr>
          <w:rFonts w:eastAsia="Malgun Gothic"/>
          <w:b/>
          <w:bCs/>
          <w:lang w:eastAsia="ko-KR"/>
        </w:rPr>
        <w:t xml:space="preserve"> </w:t>
      </w:r>
      <w:r w:rsidR="00AD7786">
        <w:rPr>
          <w:rFonts w:eastAsia="Malgun Gothic"/>
          <w:b/>
          <w:bCs/>
          <w:lang w:eastAsia="ko-KR"/>
        </w:rPr>
        <w:tab/>
      </w:r>
      <w:r w:rsidRPr="00AD7786">
        <w:rPr>
          <w:rFonts w:eastAsia="Malgun Gothic"/>
          <w:b/>
          <w:bCs/>
          <w:lang w:eastAsia="ko-KR"/>
        </w:rPr>
        <w:t xml:space="preserve">RAN2 to </w:t>
      </w:r>
      <w:r w:rsidR="001F2331" w:rsidRPr="00AD7786">
        <w:rPr>
          <w:rFonts w:eastAsia="Malgun Gothic"/>
          <w:b/>
          <w:bCs/>
          <w:lang w:eastAsia="ko-KR"/>
        </w:rPr>
        <w:t>clarify</w:t>
      </w:r>
      <w:r w:rsidRPr="00AD7786">
        <w:rPr>
          <w:rFonts w:eastAsia="Malgun Gothic"/>
          <w:b/>
          <w:bCs/>
          <w:lang w:eastAsia="ko-KR"/>
        </w:rPr>
        <w:t xml:space="preserve"> the meaning of “forward-</w:t>
      </w:r>
      <w:r w:rsidR="001F2331" w:rsidRPr="00AD7786">
        <w:rPr>
          <w:rFonts w:eastAsia="Malgun Gothic"/>
          <w:b/>
          <w:bCs/>
          <w:lang w:eastAsia="ko-KR"/>
        </w:rPr>
        <w:t>compatibility</w:t>
      </w:r>
      <w:r w:rsidRPr="00AD7786">
        <w:rPr>
          <w:rFonts w:eastAsia="Malgun Gothic"/>
          <w:b/>
          <w:bCs/>
          <w:lang w:eastAsia="ko-KR"/>
        </w:rPr>
        <w:t>”</w:t>
      </w:r>
      <w:r w:rsidR="00AD7786" w:rsidRPr="00AD7786">
        <w:rPr>
          <w:rFonts w:eastAsia="Malgun Gothic"/>
          <w:b/>
          <w:bCs/>
          <w:lang w:eastAsia="ko-KR"/>
        </w:rPr>
        <w:t>: whether there will be a single common Paging message for both Rel-19 and Rel-20 or two different paging message formats</w:t>
      </w:r>
      <w:r w:rsidR="00AD7786">
        <w:rPr>
          <w:rFonts w:eastAsia="Malgun Gothic"/>
          <w:b/>
          <w:bCs/>
          <w:lang w:eastAsia="ko-KR"/>
        </w:rPr>
        <w:t xml:space="preserve"> in the respective release</w:t>
      </w:r>
      <w:r w:rsidR="00AD7786" w:rsidRPr="00AD7786">
        <w:rPr>
          <w:rFonts w:eastAsia="Malgun Gothic"/>
          <w:b/>
          <w:bCs/>
          <w:lang w:eastAsia="ko-KR"/>
        </w:rPr>
        <w:t>.</w:t>
      </w:r>
      <w:r w:rsidRPr="00AD7786">
        <w:rPr>
          <w:rFonts w:eastAsia="Malgun Gothic"/>
          <w:b/>
          <w:bCs/>
          <w:lang w:eastAsia="ko-KR"/>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68E20047"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w:t>
      </w:r>
      <w:r w:rsidR="001B058F">
        <w:rPr>
          <w:lang w:eastAsia="zh-CN"/>
        </w:rPr>
        <w:t xml:space="preserve">nd have the </w:t>
      </w:r>
      <w:r w:rsidR="0005429F">
        <w:rPr>
          <w:lang w:eastAsia="zh-CN"/>
        </w:rPr>
        <w:t>following</w:t>
      </w:r>
      <w:r w:rsidR="00AF51DE">
        <w:rPr>
          <w:lang w:eastAsia="zh-CN"/>
        </w:rPr>
        <w:t xml:space="preserve"> proposals:</w:t>
      </w:r>
    </w:p>
    <w:p w14:paraId="36AE438B" w14:textId="77777777" w:rsidR="00DA58E1" w:rsidRPr="00F4556E" w:rsidRDefault="00DA58E1" w:rsidP="00DA58E1">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t>A-IoT device only handle one ongoing “transaction” at a time and maintains a single valid “transaction ID”.</w:t>
      </w:r>
    </w:p>
    <w:p w14:paraId="0F38C32F" w14:textId="77777777" w:rsidR="00DA58E1" w:rsidRPr="00E261EE" w:rsidRDefault="00DA58E1" w:rsidP="00DA58E1">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w:t>
      </w:r>
      <w:r>
        <w:rPr>
          <w:rFonts w:eastAsia="Malgun Gothic"/>
          <w:b/>
          <w:bCs/>
          <w:lang w:eastAsia="ko-KR"/>
        </w:rPr>
        <w:t>2</w:t>
      </w:r>
      <w:r w:rsidRPr="00E261EE">
        <w:rPr>
          <w:rFonts w:eastAsia="Malgun Gothic"/>
          <w:b/>
          <w:bCs/>
          <w:lang w:eastAsia="ko-KR"/>
        </w:rPr>
        <w:t xml:space="preserve"> </w:t>
      </w:r>
      <w:r>
        <w:rPr>
          <w:rFonts w:eastAsia="Malgun Gothic"/>
          <w:b/>
          <w:bCs/>
          <w:lang w:eastAsia="ko-KR"/>
        </w:rPr>
        <w:tab/>
        <w:t>A device shall abort the current transaction and respond to the matching Paging request with new “Transaction ID”, regardless of whether this new paging transaction is initiated from the same reader or different reader.</w:t>
      </w:r>
    </w:p>
    <w:p w14:paraId="61815DBE" w14:textId="77777777" w:rsidR="00DA58E1" w:rsidRDefault="00DA58E1" w:rsidP="00DA58E1">
      <w:pPr>
        <w:spacing w:before="60" w:after="60"/>
        <w:ind w:left="1440" w:hanging="1440"/>
        <w:jc w:val="both"/>
        <w:rPr>
          <w:b/>
          <w:bCs/>
        </w:rPr>
      </w:pPr>
      <w:r>
        <w:rPr>
          <w:b/>
          <w:bCs/>
        </w:rPr>
        <w:t>Proposal</w:t>
      </w:r>
      <w:r w:rsidRPr="00264C82">
        <w:rPr>
          <w:b/>
          <w:bCs/>
        </w:rPr>
        <w:t xml:space="preserve"> </w:t>
      </w:r>
      <w:r>
        <w:rPr>
          <w:b/>
          <w:bCs/>
        </w:rPr>
        <w:t>3</w:t>
      </w:r>
      <w:r>
        <w:rPr>
          <w:b/>
          <w:bCs/>
        </w:rPr>
        <w:tab/>
        <w:t xml:space="preserve">At least for CFRA paging, Paging ID is visible to reader’s MAC layer. </w:t>
      </w:r>
    </w:p>
    <w:p w14:paraId="054FCCAF" w14:textId="77777777" w:rsidR="00DA58E1" w:rsidRDefault="00DA58E1" w:rsidP="00DA58E1">
      <w:pPr>
        <w:spacing w:before="60" w:after="60"/>
        <w:ind w:left="1301" w:hangingChars="638" w:hanging="1301"/>
        <w:jc w:val="both"/>
        <w:rPr>
          <w:b/>
          <w:bCs/>
        </w:rPr>
      </w:pPr>
      <w:r>
        <w:rPr>
          <w:b/>
          <w:bCs/>
        </w:rPr>
        <w:t>Proposal</w:t>
      </w:r>
      <w:r w:rsidRPr="00264C82">
        <w:rPr>
          <w:b/>
          <w:bCs/>
        </w:rPr>
        <w:t xml:space="preserve"> </w:t>
      </w:r>
      <w:r>
        <w:rPr>
          <w:b/>
          <w:bCs/>
        </w:rPr>
        <w:t>4</w:t>
      </w:r>
      <w:r>
        <w:rPr>
          <w:b/>
          <w:bCs/>
        </w:rPr>
        <w:tab/>
        <w:t xml:space="preserve">4-6 bit “Transaction ID” is used for Paging message. </w:t>
      </w:r>
    </w:p>
    <w:p w14:paraId="15ADF799" w14:textId="0513B6D0" w:rsidR="00DA58E1" w:rsidRPr="00AD7786" w:rsidRDefault="00DA58E1" w:rsidP="00DA58E1">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Pr>
          <w:rFonts w:eastAsia="Malgun Gothic"/>
          <w:b/>
          <w:bCs/>
          <w:lang w:eastAsia="ko-KR"/>
        </w:rPr>
        <w:t>5</w:t>
      </w:r>
      <w:r w:rsidRPr="00AD7786">
        <w:rPr>
          <w:rFonts w:eastAsia="Malgun Gothic"/>
          <w:b/>
          <w:bCs/>
          <w:lang w:eastAsia="ko-KR"/>
        </w:rPr>
        <w:t xml:space="preserve"> </w:t>
      </w:r>
      <w:r>
        <w:rPr>
          <w:rFonts w:eastAsia="Malgun Gothic"/>
          <w:b/>
          <w:bCs/>
          <w:lang w:eastAsia="ko-KR"/>
        </w:rPr>
        <w:tab/>
      </w:r>
      <w:r w:rsidRPr="00AD7786">
        <w:rPr>
          <w:rFonts w:eastAsia="Malgun Gothic"/>
          <w:b/>
          <w:bCs/>
          <w:lang w:eastAsia="ko-KR"/>
        </w:rPr>
        <w:t>RAN2 to clarify the meaning of “forward-compatibility”: whether there will be a single common Paging message for both Rel-19 and Rel-20 or two different paging message formats</w:t>
      </w:r>
      <w:r>
        <w:rPr>
          <w:rFonts w:eastAsia="Malgun Gothic"/>
          <w:b/>
          <w:bCs/>
          <w:lang w:eastAsia="ko-KR"/>
        </w:rPr>
        <w:t xml:space="preserve"> in the respective release</w:t>
      </w:r>
      <w:r w:rsidRPr="00AD7786">
        <w:rPr>
          <w:rFonts w:eastAsia="Malgun Gothic"/>
          <w:b/>
          <w:bCs/>
          <w:lang w:eastAsia="ko-KR"/>
        </w:rPr>
        <w:t xml:space="preserve">. </w:t>
      </w:r>
    </w:p>
    <w:p w14:paraId="21355296" w14:textId="77777777" w:rsidR="00DA58E1" w:rsidRPr="00F4556E" w:rsidRDefault="00DA58E1" w:rsidP="00F4556E">
      <w:pPr>
        <w:spacing w:before="60" w:after="60"/>
        <w:ind w:left="1276" w:hangingChars="638" w:hanging="1276"/>
        <w:jc w:val="both"/>
        <w:rPr>
          <w:rFonts w:eastAsia="Malgun Gothic"/>
          <w:b/>
          <w:bCs/>
          <w:lang w:val="en-GB"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B3178D7" w14:textId="3E5B5FE2" w:rsidR="001B058F" w:rsidRDefault="00F4556E" w:rsidP="00F4556E">
      <w:r>
        <w:t xml:space="preserve">[1] </w:t>
      </w:r>
      <w:r w:rsidR="001B058F">
        <w:t>Chairman’s note R2-129</w:t>
      </w:r>
    </w:p>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91B23" w14:textId="77777777" w:rsidR="00E96833" w:rsidRDefault="00E96833">
      <w:r>
        <w:separator/>
      </w:r>
    </w:p>
    <w:p w14:paraId="2062DBB8" w14:textId="77777777" w:rsidR="00E96833" w:rsidRDefault="00E96833"/>
  </w:endnote>
  <w:endnote w:type="continuationSeparator" w:id="0">
    <w:p w14:paraId="41ECD6A4" w14:textId="77777777" w:rsidR="00E96833" w:rsidRDefault="00E96833">
      <w:r>
        <w:continuationSeparator/>
      </w:r>
    </w:p>
    <w:p w14:paraId="35F33156" w14:textId="77777777" w:rsidR="00E96833" w:rsidRDefault="00E96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Heiti SC Light"/>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AB676" w14:textId="77777777" w:rsidR="00E96833" w:rsidRDefault="00E96833">
      <w:r>
        <w:separator/>
      </w:r>
    </w:p>
    <w:p w14:paraId="6DF6A8E0" w14:textId="77777777" w:rsidR="00E96833" w:rsidRDefault="00E96833"/>
  </w:footnote>
  <w:footnote w:type="continuationSeparator" w:id="0">
    <w:p w14:paraId="2D9610E5" w14:textId="77777777" w:rsidR="00E96833" w:rsidRDefault="00E96833">
      <w:r>
        <w:continuationSeparator/>
      </w:r>
    </w:p>
    <w:p w14:paraId="7112DAE2" w14:textId="77777777" w:rsidR="00E96833" w:rsidRDefault="00E968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6"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5"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1"/>
  </w:num>
  <w:num w:numId="2" w16cid:durableId="2123449102">
    <w:abstractNumId w:val="23"/>
  </w:num>
  <w:num w:numId="3" w16cid:durableId="868225439">
    <w:abstractNumId w:val="36"/>
  </w:num>
  <w:num w:numId="4" w16cid:durableId="1147404626">
    <w:abstractNumId w:val="0"/>
  </w:num>
  <w:num w:numId="5" w16cid:durableId="1617247771">
    <w:abstractNumId w:val="18"/>
  </w:num>
  <w:num w:numId="6" w16cid:durableId="1667317774">
    <w:abstractNumId w:val="19"/>
  </w:num>
  <w:num w:numId="7" w16cid:durableId="1846817506">
    <w:abstractNumId w:val="34"/>
  </w:num>
  <w:num w:numId="8" w16cid:durableId="6370603">
    <w:abstractNumId w:val="4"/>
  </w:num>
  <w:num w:numId="9" w16cid:durableId="187061277">
    <w:abstractNumId w:val="9"/>
  </w:num>
  <w:num w:numId="10" w16cid:durableId="1061713598">
    <w:abstractNumId w:val="27"/>
  </w:num>
  <w:num w:numId="11" w16cid:durableId="1662855977">
    <w:abstractNumId w:val="31"/>
  </w:num>
  <w:num w:numId="12" w16cid:durableId="199099323">
    <w:abstractNumId w:val="25"/>
  </w:num>
  <w:num w:numId="13" w16cid:durableId="1431120502">
    <w:abstractNumId w:val="38"/>
  </w:num>
  <w:num w:numId="14" w16cid:durableId="609750540">
    <w:abstractNumId w:val="7"/>
  </w:num>
  <w:num w:numId="15" w16cid:durableId="93478889">
    <w:abstractNumId w:val="33"/>
  </w:num>
  <w:num w:numId="16" w16cid:durableId="1129201328">
    <w:abstractNumId w:val="40"/>
  </w:num>
  <w:num w:numId="17" w16cid:durableId="928317950">
    <w:abstractNumId w:val="13"/>
  </w:num>
  <w:num w:numId="18" w16cid:durableId="884222946">
    <w:abstractNumId w:val="15"/>
  </w:num>
  <w:num w:numId="19" w16cid:durableId="1398438737">
    <w:abstractNumId w:val="1"/>
  </w:num>
  <w:num w:numId="20" w16cid:durableId="1812403481">
    <w:abstractNumId w:val="11"/>
  </w:num>
  <w:num w:numId="21" w16cid:durableId="405108066">
    <w:abstractNumId w:val="20"/>
  </w:num>
  <w:num w:numId="22" w16cid:durableId="2065594791">
    <w:abstractNumId w:val="29"/>
  </w:num>
  <w:num w:numId="23" w16cid:durableId="1825506128">
    <w:abstractNumId w:val="22"/>
  </w:num>
  <w:num w:numId="24" w16cid:durableId="1175144615">
    <w:abstractNumId w:val="8"/>
  </w:num>
  <w:num w:numId="25" w16cid:durableId="947544734">
    <w:abstractNumId w:val="2"/>
  </w:num>
  <w:num w:numId="26" w16cid:durableId="1640265465">
    <w:abstractNumId w:val="6"/>
  </w:num>
  <w:num w:numId="27" w16cid:durableId="102582251">
    <w:abstractNumId w:val="17"/>
  </w:num>
  <w:num w:numId="28" w16cid:durableId="401149412">
    <w:abstractNumId w:val="35"/>
  </w:num>
  <w:num w:numId="29" w16cid:durableId="1196506567">
    <w:abstractNumId w:val="21"/>
  </w:num>
  <w:num w:numId="30" w16cid:durableId="775102010">
    <w:abstractNumId w:val="24"/>
  </w:num>
  <w:num w:numId="31" w16cid:durableId="1933926760">
    <w:abstractNumId w:val="14"/>
  </w:num>
  <w:num w:numId="32" w16cid:durableId="1714767999">
    <w:abstractNumId w:val="28"/>
  </w:num>
  <w:num w:numId="33" w16cid:durableId="1046684196">
    <w:abstractNumId w:val="32"/>
  </w:num>
  <w:num w:numId="34" w16cid:durableId="289678140">
    <w:abstractNumId w:val="37"/>
  </w:num>
  <w:num w:numId="35" w16cid:durableId="1272474883">
    <w:abstractNumId w:val="12"/>
  </w:num>
  <w:num w:numId="36" w16cid:durableId="2085759571">
    <w:abstractNumId w:val="3"/>
  </w:num>
  <w:num w:numId="37" w16cid:durableId="1660691799">
    <w:abstractNumId w:val="16"/>
  </w:num>
  <w:num w:numId="38" w16cid:durableId="1280262532">
    <w:abstractNumId w:val="10"/>
  </w:num>
  <w:num w:numId="39" w16cid:durableId="1283000969">
    <w:abstractNumId w:val="30"/>
  </w:num>
  <w:num w:numId="40" w16cid:durableId="1936941266">
    <w:abstractNumId w:val="5"/>
  </w:num>
  <w:num w:numId="41" w16cid:durableId="1407528985">
    <w:abstractNumId w:val="39"/>
  </w:num>
  <w:num w:numId="42" w16cid:durableId="8850165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9AE"/>
    <w:rsid w:val="001A7084"/>
    <w:rsid w:val="001A7138"/>
    <w:rsid w:val="001A71F4"/>
    <w:rsid w:val="001A778E"/>
    <w:rsid w:val="001A7AA6"/>
    <w:rsid w:val="001A7B73"/>
    <w:rsid w:val="001A7BDC"/>
    <w:rsid w:val="001A7EA2"/>
    <w:rsid w:val="001B0210"/>
    <w:rsid w:val="001B0402"/>
    <w:rsid w:val="001B058F"/>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7BF"/>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13"/>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44"/>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382"/>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1BB5"/>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A21"/>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9A2"/>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4BD"/>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58E1"/>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3A7"/>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833"/>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6D1"/>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8D"/>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pPr>
      <w:overflowPunct/>
      <w:autoSpaceDE/>
      <w:autoSpaceDN/>
      <w:adjustRightInd/>
      <w:spacing w:after="0"/>
    </w:pPr>
    <w:rPr>
      <w:rFonts w:eastAsia="Times New Roman"/>
      <w:color w:val="161614"/>
      <w:sz w:val="21"/>
      <w:szCs w:val="21"/>
      <w:lang w:eastAsia="zh-CN"/>
    </w:rPr>
  </w:style>
  <w:style w:type="paragraph" w:customStyle="1" w:styleId="p2">
    <w:name w:val="p2"/>
    <w:basedOn w:val="Normal"/>
    <w:rsid w:val="00B83F8E"/>
    <w:pPr>
      <w:overflowPunct/>
      <w:autoSpaceDE/>
      <w:autoSpaceDN/>
      <w:adjustRightInd/>
      <w:spacing w:after="0"/>
    </w:pPr>
    <w:rPr>
      <w:rFonts w:eastAsia="Times New Roman"/>
      <w:color w:val="FB0007"/>
      <w:sz w:val="21"/>
      <w:szCs w:val="21"/>
      <w:lang w:eastAsia="zh-CN"/>
    </w:rPr>
  </w:style>
  <w:style w:type="paragraph" w:customStyle="1" w:styleId="p3">
    <w:name w:val="p3"/>
    <w:basedOn w:val="Normal"/>
    <w:rsid w:val="00B83F8E"/>
    <w:pPr>
      <w:overflowPunct/>
      <w:autoSpaceDE/>
      <w:autoSpaceDN/>
      <w:adjustRightInd/>
      <w:spacing w:after="0"/>
    </w:pPr>
    <w:rPr>
      <w:rFonts w:eastAsia="Times New Roman"/>
      <w:color w:val="161614"/>
      <w:sz w:val="21"/>
      <w:szCs w:val="21"/>
      <w:lang w:eastAsia="zh-CN"/>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2244</TotalTime>
  <Pages>3</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41</cp:revision>
  <cp:lastPrinted>2017-03-22T08:13:00Z</cp:lastPrinted>
  <dcterms:created xsi:type="dcterms:W3CDTF">2024-08-05T10:33:00Z</dcterms:created>
  <dcterms:modified xsi:type="dcterms:W3CDTF">2025-03-27T22:27:00Z</dcterms:modified>
  <cp:category/>
</cp:coreProperties>
</file>